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adpis2"/>
        <w:spacing w:lineRule="atLeast" w:line="280"/>
        <w:jc w:val="center"/>
        <w:rPr>
          <w:b/>
          <w:bCs/>
          <w:spacing w:val="40"/>
          <w:sz w:val="32"/>
          <w:szCs w:val="32"/>
          <w:u w:val="none"/>
        </w:rPr>
      </w:pPr>
      <w:r>
        <w:rPr>
          <w:b/>
          <w:bCs/>
          <w:spacing w:val="40"/>
          <w:sz w:val="32"/>
          <w:szCs w:val="32"/>
          <w:u w:val="none"/>
        </w:rPr>
      </w:r>
    </w:p>
    <w:p>
      <w:pPr>
        <w:pStyle w:val="Zhlav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</w:r>
    </w:p>
    <w:p>
      <w:pPr>
        <w:pStyle w:val="Normal"/>
        <w:spacing w:lineRule="auto" w:line="276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OBEC BOR U SKUTČE</w:t>
      </w:r>
    </w:p>
    <w:p>
      <w:pPr>
        <w:pStyle w:val="Normal"/>
        <w:spacing w:lineRule="auto" w:line="276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Zastupitelstvo obce Bor u Skutče</w:t>
      </w:r>
    </w:p>
    <w:p>
      <w:pPr>
        <w:pStyle w:val="Normal"/>
        <w:spacing w:lineRule="auto" w:line="276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Obecně závazná vyhláška obce Bor u Skutče č. 3/2019,</w:t>
      </w:r>
    </w:p>
    <w:p>
      <w:pPr>
        <w:pStyle w:val="Normal"/>
        <w:spacing w:lineRule="auto" w:line="276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o místním poplatku z pobytu</w:t>
      </w:r>
    </w:p>
    <w:p>
      <w:pPr>
        <w:pStyle w:val="Normal"/>
        <w:spacing w:lineRule="auto" w:line="276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88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Zastupitelstvo obce Bor u Skutče se na svém zasedání dne </w:t>
      </w:r>
      <w:r>
        <w:rPr>
          <w:rFonts w:cs="Arial" w:ascii="Arial" w:hAnsi="Arial"/>
          <w:sz w:val="22"/>
          <w:szCs w:val="22"/>
        </w:rPr>
        <w:t>12.</w:t>
      </w:r>
      <w:r>
        <w:rPr>
          <w:rFonts w:cs="Arial" w:ascii="Arial" w:hAnsi="Arial"/>
          <w:sz w:val="22"/>
          <w:szCs w:val="22"/>
        </w:rPr>
        <w:t xml:space="preserve"> 11. 2019 usnesením č. 10/2019 usneslo vydat na 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>
      <w:pPr>
        <w:pStyle w:val="Slalnk"/>
        <w:spacing w:before="480" w:after="60"/>
        <w:rPr>
          <w:rFonts w:cs="Arial" w:ascii="Arial" w:hAnsi="Arial"/>
        </w:rPr>
      </w:pPr>
      <w:r>
        <w:rPr>
          <w:rFonts w:cs="Arial" w:ascii="Arial" w:hAnsi="Arial"/>
        </w:rPr>
        <w:t>Čl. 1</w:t>
      </w:r>
    </w:p>
    <w:p>
      <w:pPr>
        <w:pStyle w:val="Nzvylnk"/>
        <w:rPr>
          <w:rFonts w:cs="Arial" w:ascii="Arial" w:hAnsi="Arial"/>
        </w:rPr>
      </w:pPr>
      <w:r>
        <w:rPr>
          <w:rFonts w:cs="Arial" w:ascii="Arial" w:hAnsi="Arial"/>
        </w:rPr>
        <w:t>Úvodní ustanovení</w:t>
      </w:r>
    </w:p>
    <w:p>
      <w:pPr>
        <w:pStyle w:val="Normal"/>
        <w:numPr>
          <w:ilvl w:val="0"/>
          <w:numId w:val="9"/>
        </w:numPr>
        <w:spacing w:lineRule="auto" w:line="360" w:before="0" w:after="12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Obec Bor u Skutče touto vyhláškou zavádí místní poplatek z pobytu (dále jen „poplatek“).</w:t>
      </w:r>
    </w:p>
    <w:p>
      <w:pPr>
        <w:pStyle w:val="Normal"/>
        <w:numPr>
          <w:ilvl w:val="0"/>
          <w:numId w:val="9"/>
        </w:numPr>
        <w:spacing w:lineRule="auto" w:line="360" w:before="0" w:after="120"/>
        <w:jc w:val="both"/>
        <w:rPr>
          <w:rStyle w:val="Znakapozn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Správcem poplatku je obecní úřad.</w:t>
      </w:r>
      <w:r>
        <w:rPr>
          <w:rStyle w:val="Znakapoznpodarou"/>
          <w:rStyle w:val="Ukotvenpoznmkypodarou"/>
          <w:rFonts w:cs="Arial" w:ascii="Arial" w:hAnsi="Arial"/>
          <w:sz w:val="22"/>
          <w:szCs w:val="22"/>
        </w:rPr>
        <w:footnoteReference w:id="2"/>
      </w:r>
    </w:p>
    <w:p>
      <w:pPr>
        <w:pStyle w:val="Slalnk"/>
        <w:spacing w:before="480" w:after="60"/>
        <w:rPr>
          <w:rFonts w:cs="Arial" w:ascii="Arial" w:hAnsi="Arial"/>
        </w:rPr>
      </w:pPr>
      <w:r>
        <w:rPr>
          <w:rFonts w:cs="Arial" w:ascii="Arial" w:hAnsi="Arial"/>
        </w:rPr>
        <w:t>Čl. 2</w:t>
      </w:r>
    </w:p>
    <w:p>
      <w:pPr>
        <w:pStyle w:val="Nzvylnk"/>
        <w:rPr>
          <w:rFonts w:cs="Arial" w:ascii="Arial" w:hAnsi="Arial"/>
        </w:rPr>
      </w:pPr>
      <w:r>
        <w:rPr>
          <w:rFonts w:cs="Arial" w:ascii="Arial" w:hAnsi="Arial"/>
        </w:rPr>
        <w:t>Předmět, poplatník a plátce poplatku</w:t>
      </w:r>
    </w:p>
    <w:p>
      <w:pPr>
        <w:pStyle w:val="Normal"/>
        <w:numPr>
          <w:ilvl w:val="0"/>
          <w:numId w:val="8"/>
        </w:numPr>
        <w:spacing w:lineRule="auto" w:line="312" w:before="120" w:after="0"/>
        <w:jc w:val="both"/>
        <w:rPr>
          <w:rStyle w:val="Znakypropoznmku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Předmětem poplatku je úplatný pobyt trvající nejvýše 60 po sobě jdoucích kalendářních dnů u jednotlivého poskytovatele pobytu. Předmětem poplatku není pobyt, při kterém je na základě zákona omezována osobní svoboda.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3"/>
      </w:r>
    </w:p>
    <w:p>
      <w:pPr>
        <w:pStyle w:val="Normal"/>
        <w:numPr>
          <w:ilvl w:val="0"/>
          <w:numId w:val="8"/>
        </w:numPr>
        <w:spacing w:lineRule="auto" w:line="312" w:before="120" w:after="0"/>
        <w:jc w:val="both"/>
        <w:rPr>
          <w:rStyle w:val="Znakypropoznmku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Poplatníkem poplatku je osoba, která v obci není přihlášená (dále jen „poplatník“).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4"/>
      </w:r>
    </w:p>
    <w:p>
      <w:pPr>
        <w:pStyle w:val="Normal"/>
        <w:numPr>
          <w:ilvl w:val="0"/>
          <w:numId w:val="8"/>
        </w:numPr>
        <w:spacing w:lineRule="auto" w:line="312" w:before="120" w:after="0"/>
        <w:jc w:val="both"/>
        <w:rPr>
          <w:rStyle w:val="Znakypropoznmku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Plátcem poplatku je poskytovatel úplatného pobytu (dále jen „plátce“). Plátce je povinen vybrat poplatek od poplatníka</w:t>
      </w:r>
      <w:r>
        <w:rPr>
          <w:rFonts w:cs="Arial" w:ascii="Arial" w:hAnsi="Arial"/>
        </w:rPr>
        <w:t>.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5"/>
      </w:r>
    </w:p>
    <w:p>
      <w:pPr>
        <w:pStyle w:val="Slalnk"/>
        <w:spacing w:before="480" w:after="60"/>
        <w:rPr>
          <w:rFonts w:cs="Arial" w:ascii="Arial" w:hAnsi="Arial"/>
        </w:rPr>
      </w:pPr>
      <w:r>
        <w:rPr>
          <w:rFonts w:cs="Arial" w:ascii="Arial" w:hAnsi="Arial"/>
        </w:rPr>
        <w:t>Čl. 3</w:t>
      </w:r>
    </w:p>
    <w:p>
      <w:pPr>
        <w:pStyle w:val="Nzvylnk"/>
        <w:rPr>
          <w:rFonts w:cs="Arial" w:ascii="Arial" w:hAnsi="Arial"/>
        </w:rPr>
      </w:pPr>
      <w:r>
        <w:rPr>
          <w:rFonts w:cs="Arial" w:ascii="Arial" w:hAnsi="Arial"/>
        </w:rPr>
        <w:t>Ohlašovací povinnost</w:t>
      </w:r>
    </w:p>
    <w:p>
      <w:pPr>
        <w:pStyle w:val="Normal"/>
        <w:numPr>
          <w:ilvl w:val="0"/>
          <w:numId w:val="7"/>
        </w:numPr>
        <w:spacing w:lineRule="auto" w:line="312" w:before="120" w:after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Plátce je povinen podat správci poplatku ohlášení nejpozději do 30 dnů od zahájení činnosti spočívající v poskytování úplatného pobytu. Ukončení této činnosti plátce ohlásí správci poplatku ve lhůtě 30 dnů.</w:t>
      </w:r>
    </w:p>
    <w:p>
      <w:pPr>
        <w:pStyle w:val="Normal"/>
        <w:keepNext/>
        <w:numPr>
          <w:ilvl w:val="0"/>
          <w:numId w:val="7"/>
        </w:numPr>
        <w:spacing w:lineRule="auto" w:line="312" w:before="120" w:after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ohlášení plátce uvede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6"/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7"/>
        </w:numPr>
        <w:spacing w:lineRule="auto" w:line="312" w:before="120" w:after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>
      <w:pPr>
        <w:pStyle w:val="Normal"/>
        <w:numPr>
          <w:ilvl w:val="1"/>
          <w:numId w:val="7"/>
        </w:numPr>
        <w:spacing w:lineRule="auto" w:line="312" w:before="120" w:after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>
      <w:pPr>
        <w:pStyle w:val="Normal"/>
        <w:numPr>
          <w:ilvl w:val="1"/>
          <w:numId w:val="7"/>
        </w:numPr>
        <w:spacing w:lineRule="auto" w:line="312" w:before="120" w:after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další údaje rozhodné pro stanovení poplatku, zejména místa a zařízení, případně též období roku, v nichž poskytuje pobyt. 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12" w:before="120" w:after="0"/>
        <w:jc w:val="both"/>
        <w:rPr>
          <w:rStyle w:val="Znakapozn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Plátce, který nemá sídlo nebo bydliště na území členského státu Evropské unie, jiného smluvního státu Dohody o Evropském hospodářském prostoru nebo Švýcarské konfederace, uvede kromě údajů požadovaných v odstavci 3 adresu svého zmocněnce v tuzemsku pro doručování.</w:t>
      </w:r>
      <w:r>
        <w:rPr>
          <w:rStyle w:val="Znakapoznpodarou"/>
          <w:rStyle w:val="Ukotvenpoznmkypodarou"/>
          <w:rFonts w:cs="Arial" w:ascii="Arial" w:hAnsi="Arial"/>
          <w:sz w:val="22"/>
          <w:szCs w:val="22"/>
        </w:rPr>
        <w:footnoteReference w:id="7"/>
      </w:r>
    </w:p>
    <w:p>
      <w:pPr>
        <w:pStyle w:val="Normal"/>
        <w:numPr>
          <w:ilvl w:val="0"/>
          <w:numId w:val="7"/>
        </w:numPr>
        <w:spacing w:lineRule="auto" w:line="312" w:before="120" w:after="0"/>
        <w:jc w:val="both"/>
        <w:rPr>
          <w:rStyle w:val="Znakypropoznmku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Dojde-li ke změně údajů uvedených v ohlášení, je plátce povinen tuto změnu oznámit do 30 dnů ode dne, kdy nastala.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Normal"/>
        <w:numPr>
          <w:ilvl w:val="0"/>
          <w:numId w:val="7"/>
        </w:numPr>
        <w:spacing w:lineRule="auto" w:line="312" w:before="120" w:after="0"/>
        <w:jc w:val="both"/>
        <w:rPr>
          <w:rStyle w:val="Znakypropoznmku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9"/>
      </w:r>
    </w:p>
    <w:p>
      <w:pPr>
        <w:pStyle w:val="Slalnk"/>
        <w:spacing w:before="480" w:after="60"/>
        <w:rPr>
          <w:rFonts w:cs="Arial" w:ascii="Arial" w:hAnsi="Arial"/>
        </w:rPr>
      </w:pPr>
      <w:r>
        <w:rPr>
          <w:rFonts w:cs="Arial" w:ascii="Arial" w:hAnsi="Arial"/>
        </w:rPr>
        <w:t>Čl. 4</w:t>
      </w:r>
    </w:p>
    <w:p>
      <w:pPr>
        <w:pStyle w:val="Slalnk"/>
        <w:spacing w:before="0" w:after="0"/>
        <w:rPr>
          <w:rStyle w:val="Znakypropoznmku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Cs w:val="24"/>
        </w:rPr>
        <w:t>Evidenční povinnost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Textodstavce"/>
        <w:numPr>
          <w:ilvl w:val="6"/>
          <w:numId w:val="5"/>
        </w:numPr>
        <w:tabs>
          <w:tab w:val="left" w:pos="567" w:leader="none"/>
        </w:tabs>
        <w:spacing w:lineRule="auto" w:line="312" w:before="120" w:after="0"/>
        <w:ind w:left="567" w:right="0" w:hanging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(1) </w:t>
        <w:tab/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>
      <w:pPr>
        <w:pStyle w:val="Textodstavce"/>
        <w:numPr>
          <w:ilvl w:val="6"/>
          <w:numId w:val="5"/>
        </w:numPr>
        <w:tabs>
          <w:tab w:val="left" w:pos="567" w:leader="none"/>
        </w:tabs>
        <w:spacing w:lineRule="auto" w:line="312" w:before="120" w:after="0"/>
        <w:ind w:left="567" w:right="0" w:hanging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(2) </w:t>
        <w:tab/>
        <w:t>Údaji podle odstavce 1 jsou</w:t>
      </w:r>
    </w:p>
    <w:p>
      <w:pPr>
        <w:pStyle w:val="Textpsmene"/>
        <w:numPr>
          <w:ilvl w:val="7"/>
          <w:numId w:val="5"/>
        </w:numPr>
        <w:spacing w:lineRule="auto" w:line="312"/>
        <w:ind w:left="1134" w:right="0" w:hanging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den počátku a den konce pobytu, </w:t>
      </w:r>
    </w:p>
    <w:p>
      <w:pPr>
        <w:pStyle w:val="Textpsmene"/>
        <w:numPr>
          <w:ilvl w:val="7"/>
          <w:numId w:val="5"/>
        </w:numPr>
        <w:spacing w:lineRule="auto" w:line="312"/>
        <w:ind w:left="851" w:right="0" w:hanging="284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jméno, popřípadě jména, příjmení a adresa místa přihlášení nebo obdobného místa v zahraničí,</w:t>
      </w:r>
    </w:p>
    <w:p>
      <w:pPr>
        <w:pStyle w:val="Textpsmene"/>
        <w:numPr>
          <w:ilvl w:val="7"/>
          <w:numId w:val="5"/>
        </w:numPr>
        <w:spacing w:lineRule="auto" w:line="312"/>
        <w:ind w:left="1134" w:right="0" w:hanging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datum narození,</w:t>
      </w:r>
    </w:p>
    <w:p>
      <w:pPr>
        <w:pStyle w:val="Textpsmene"/>
        <w:numPr>
          <w:ilvl w:val="7"/>
          <w:numId w:val="5"/>
        </w:numPr>
        <w:spacing w:lineRule="auto" w:line="312"/>
        <w:ind w:left="1134" w:right="0" w:hanging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 číslo a druh průkazu totožnosti, kterým může být</w:t>
      </w:r>
    </w:p>
    <w:p>
      <w:pPr>
        <w:pStyle w:val="Textbodu"/>
        <w:numPr>
          <w:ilvl w:val="8"/>
          <w:numId w:val="11"/>
        </w:numPr>
        <w:spacing w:lineRule="auto" w:line="312"/>
        <w:ind w:left="0" w:right="0" w:firstLine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občanský průkaz, </w:t>
      </w:r>
    </w:p>
    <w:p>
      <w:pPr>
        <w:pStyle w:val="Textbodu"/>
        <w:numPr>
          <w:ilvl w:val="8"/>
          <w:numId w:val="11"/>
        </w:numPr>
        <w:spacing w:lineRule="auto" w:line="312"/>
        <w:ind w:left="0" w:right="0" w:firstLine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cestovní doklad, </w:t>
      </w:r>
    </w:p>
    <w:p>
      <w:pPr>
        <w:pStyle w:val="Textbodu"/>
        <w:numPr>
          <w:ilvl w:val="8"/>
          <w:numId w:val="11"/>
        </w:numPr>
        <w:spacing w:lineRule="auto" w:line="312"/>
        <w:ind w:left="0" w:right="0" w:firstLine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potvrzení o přechodném pobytu na území, </w:t>
      </w:r>
    </w:p>
    <w:p>
      <w:pPr>
        <w:pStyle w:val="Textbodu"/>
        <w:numPr>
          <w:ilvl w:val="8"/>
          <w:numId w:val="11"/>
        </w:numPr>
        <w:spacing w:lineRule="auto" w:line="312"/>
        <w:ind w:left="0" w:right="0" w:firstLine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pobytová karta rodinného příslušníka občana Evropské unie, </w:t>
      </w:r>
    </w:p>
    <w:p>
      <w:pPr>
        <w:pStyle w:val="Textbodu"/>
        <w:numPr>
          <w:ilvl w:val="8"/>
          <w:numId w:val="11"/>
        </w:numPr>
        <w:spacing w:lineRule="auto" w:line="312"/>
        <w:ind w:left="0" w:right="0" w:firstLine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průkaz o povolení k pobytu,</w:t>
      </w:r>
    </w:p>
    <w:p>
      <w:pPr>
        <w:pStyle w:val="Textbodu"/>
        <w:numPr>
          <w:ilvl w:val="8"/>
          <w:numId w:val="11"/>
        </w:numPr>
        <w:spacing w:lineRule="auto" w:line="312"/>
        <w:ind w:left="0" w:right="0" w:firstLine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průkaz o povolení k pobytu pro cizince, </w:t>
      </w:r>
    </w:p>
    <w:p>
      <w:pPr>
        <w:pStyle w:val="Textbodu"/>
        <w:numPr>
          <w:ilvl w:val="8"/>
          <w:numId w:val="11"/>
        </w:numPr>
        <w:spacing w:lineRule="auto" w:line="312"/>
        <w:ind w:left="0" w:right="0" w:firstLine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průkaz o povolení k trvalému pobytu, </w:t>
      </w:r>
    </w:p>
    <w:p>
      <w:pPr>
        <w:pStyle w:val="Textbodu"/>
        <w:numPr>
          <w:ilvl w:val="8"/>
          <w:numId w:val="11"/>
        </w:numPr>
        <w:spacing w:lineRule="auto" w:line="312"/>
        <w:ind w:left="0" w:right="0" w:firstLine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průkaz žadatele o udělení mezinárodní ochrany, nebo</w:t>
      </w:r>
    </w:p>
    <w:p>
      <w:pPr>
        <w:pStyle w:val="Textbodu"/>
        <w:numPr>
          <w:ilvl w:val="8"/>
          <w:numId w:val="11"/>
        </w:numPr>
        <w:spacing w:lineRule="auto" w:line="312"/>
        <w:ind w:left="0" w:right="0" w:firstLine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průkaz žadatele o poskytnutí dočasné ochrany, a</w:t>
      </w:r>
    </w:p>
    <w:p>
      <w:pPr>
        <w:pStyle w:val="Textpsmene"/>
        <w:numPr>
          <w:ilvl w:val="7"/>
          <w:numId w:val="5"/>
        </w:numPr>
        <w:spacing w:lineRule="auto" w:line="312"/>
        <w:ind w:left="1134" w:right="0" w:hanging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e) výše vybraného poplatku, nebo důvod osvobození od poplatku.</w:t>
      </w:r>
    </w:p>
    <w:p>
      <w:pPr>
        <w:pStyle w:val="Textodstavce"/>
        <w:numPr>
          <w:ilvl w:val="6"/>
          <w:numId w:val="5"/>
        </w:numPr>
        <w:tabs>
          <w:tab w:val="left" w:pos="567" w:leader="none"/>
        </w:tabs>
        <w:spacing w:lineRule="auto" w:line="312" w:before="120" w:after="0"/>
        <w:ind w:left="567" w:right="0" w:hanging="567"/>
        <w:rPr>
          <w:rFonts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(3)</w:t>
        <w:tab/>
        <w:t>Z</w:t>
      </w:r>
      <w:r>
        <w:rPr>
          <w:rFonts w:cs="Arial" w:ascii="Arial" w:hAnsi="Arial"/>
          <w:sz w:val="22"/>
          <w:szCs w:val="22"/>
        </w:rPr>
        <w:t>ápisy do evidenční knihy musí být vedeny správně, úplně, průkazně, přehledně, srozumitelně, způsobem zaručujícím trvalost zápisů a musí být uspořádány postupně z časového hlediska.</w:t>
      </w:r>
    </w:p>
    <w:p>
      <w:pPr>
        <w:pStyle w:val="Textodstavce"/>
        <w:numPr>
          <w:ilvl w:val="6"/>
          <w:numId w:val="5"/>
        </w:numPr>
        <w:tabs>
          <w:tab w:val="left" w:pos="567" w:leader="none"/>
        </w:tabs>
        <w:spacing w:lineRule="auto" w:line="312" w:before="120" w:after="0"/>
        <w:ind w:left="567" w:right="0" w:hanging="567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(4)</w:t>
        <w:tab/>
        <w:t>Plátce je povinen uchovávat evidenční knihu po dobu 6 let ode dne provedení posledního zápisu.</w:t>
      </w:r>
    </w:p>
    <w:p>
      <w:pPr>
        <w:pStyle w:val="Slalnk"/>
        <w:spacing w:before="480" w:after="60"/>
        <w:rPr>
          <w:rFonts w:cs="Arial" w:ascii="Arial" w:hAnsi="Arial"/>
        </w:rPr>
      </w:pPr>
      <w:r>
        <w:rPr>
          <w:rFonts w:cs="Arial" w:ascii="Arial" w:hAnsi="Arial"/>
        </w:rPr>
        <w:t>Čl. 5</w:t>
      </w:r>
    </w:p>
    <w:p>
      <w:pPr>
        <w:pStyle w:val="Nzvylnk"/>
        <w:rPr>
          <w:rFonts w:cs="Arial" w:ascii="Arial" w:hAnsi="Arial"/>
        </w:rPr>
      </w:pPr>
      <w:r>
        <w:rPr>
          <w:rFonts w:cs="Arial" w:ascii="Arial" w:hAnsi="Arial"/>
        </w:rPr>
        <w:t>Sazba poplatku</w:t>
      </w:r>
    </w:p>
    <w:p>
      <w:pPr>
        <w:pStyle w:val="Normal"/>
        <w:spacing w:lineRule="auto" w:line="312"/>
        <w:ind w:left="567" w:right="0" w:hanging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Sazba poplatku činí 5,- Kč za každý započatý den pobytu, s výjimkou dne jeho počátku.</w:t>
      </w:r>
    </w:p>
    <w:p>
      <w:pPr>
        <w:pStyle w:val="Slalnk"/>
        <w:spacing w:before="480" w:after="60"/>
        <w:rPr>
          <w:rFonts w:cs="Arial" w:ascii="Arial" w:hAnsi="Arial"/>
        </w:rPr>
      </w:pPr>
      <w:r>
        <w:rPr>
          <w:rFonts w:cs="Arial" w:ascii="Arial" w:hAnsi="Arial"/>
        </w:rPr>
        <w:t xml:space="preserve">Čl. 6 </w:t>
      </w:r>
    </w:p>
    <w:p>
      <w:pPr>
        <w:pStyle w:val="Nzvylnk"/>
        <w:rPr>
          <w:rFonts w:cs="Arial" w:ascii="Arial" w:hAnsi="Arial"/>
        </w:rPr>
      </w:pPr>
      <w:r>
        <w:rPr>
          <w:rFonts w:cs="Arial" w:ascii="Arial" w:hAnsi="Arial"/>
        </w:rPr>
        <w:t xml:space="preserve">Splatnost poplatku </w:t>
      </w:r>
    </w:p>
    <w:p>
      <w:pPr>
        <w:pStyle w:val="Normal"/>
        <w:spacing w:lineRule="auto" w:line="312"/>
        <w:ind w:left="567" w:right="0" w:hanging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Plátce odvede vybraný poplatek správci poplatku za období od 1. 1. do 30. 6. nejpozději do 31. 7. a za období od 1. 7. do 31. 12. nejpozději do 31. 1. následujícího roku.</w:t>
      </w:r>
    </w:p>
    <w:p>
      <w:pPr>
        <w:pStyle w:val="Slalnk"/>
        <w:spacing w:before="480" w:after="60"/>
        <w:rPr>
          <w:rFonts w:cs="Arial" w:ascii="Arial" w:hAnsi="Arial"/>
        </w:rPr>
      </w:pPr>
      <w:r>
        <w:rPr>
          <w:rFonts w:cs="Arial" w:ascii="Arial" w:hAnsi="Arial"/>
        </w:rPr>
        <w:t>Čl. 7</w:t>
      </w:r>
    </w:p>
    <w:p>
      <w:pPr>
        <w:pStyle w:val="Nzvylnk"/>
        <w:rPr>
          <w:rFonts w:cs="Arial" w:ascii="Arial" w:hAnsi="Arial"/>
        </w:rPr>
      </w:pPr>
      <w:r>
        <w:rPr>
          <w:rFonts w:cs="Arial" w:ascii="Arial" w:hAnsi="Arial"/>
        </w:rPr>
        <w:t xml:space="preserve">Osvobození </w:t>
      </w:r>
    </w:p>
    <w:p>
      <w:pPr>
        <w:pStyle w:val="Normal"/>
        <w:spacing w:lineRule="auto" w:line="312"/>
        <w:ind w:left="567" w:right="0" w:hanging="0"/>
        <w:rPr>
          <w:rStyle w:val="Znakypropoznmku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 poplatku z pobytu je osvobozena osoba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11"/>
      </w:r>
    </w:p>
    <w:p>
      <w:pPr>
        <w:pStyle w:val="Textpsmene"/>
        <w:numPr>
          <w:ilvl w:val="3"/>
          <w:numId w:val="12"/>
        </w:numPr>
        <w:suppressAutoHyphens w:val="false"/>
        <w:spacing w:lineRule="auto" w:line="312"/>
        <w:ind w:left="1134" w:right="0" w:hanging="567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>nevidomá, osoba, která je považována za závislou na pomoci jiné fyzické osoby podle zákona upravujícího sociální služby, osoba, která je držitelem průkazu ZTP/P, a její průvodce,</w:t>
      </w:r>
    </w:p>
    <w:p>
      <w:pPr>
        <w:pStyle w:val="Textpsmene"/>
        <w:numPr>
          <w:ilvl w:val="3"/>
          <w:numId w:val="12"/>
        </w:numPr>
        <w:suppressAutoHyphens w:val="false"/>
        <w:spacing w:lineRule="auto" w:line="312"/>
        <w:ind w:left="1134" w:right="0" w:hanging="567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>mladší 18 let,</w:t>
      </w:r>
    </w:p>
    <w:p>
      <w:pPr>
        <w:pStyle w:val="Textpsmene"/>
        <w:numPr>
          <w:ilvl w:val="3"/>
          <w:numId w:val="12"/>
        </w:numPr>
        <w:suppressAutoHyphens w:val="false"/>
        <w:spacing w:lineRule="auto" w:line="312"/>
        <w:ind w:left="1134" w:right="0" w:hanging="567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>hospitalizovaná na území obce ve zdravotnickém zařízení poskytovatele lůžkové péče s výjimkou osoby, které je poskytována lázeňská léčebně rehabilitační péče</w:t>
      </w:r>
    </w:p>
    <w:p>
      <w:pPr>
        <w:pStyle w:val="Normal"/>
        <w:suppressAutoHyphens w:val="false"/>
        <w:spacing w:lineRule="auto" w:line="312"/>
        <w:ind w:left="1134" w:right="0" w:hanging="0"/>
        <w:jc w:val="both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 xml:space="preserve">1. hrazená jako příspěvková lázeňská léčebně rehabilitační péče podle zákona upravujícího veřejné zdravotní pojištění, nebo </w:t>
      </w:r>
    </w:p>
    <w:p>
      <w:pPr>
        <w:pStyle w:val="Normal"/>
        <w:tabs>
          <w:tab w:val="left" w:pos="425" w:leader="none"/>
        </w:tabs>
        <w:suppressAutoHyphens w:val="false"/>
        <w:spacing w:lineRule="auto" w:line="312"/>
        <w:ind w:left="1134" w:right="0" w:hanging="0"/>
        <w:jc w:val="both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>2. nehrazená z veřejného zdravotního pojištění,</w:t>
      </w:r>
    </w:p>
    <w:p>
      <w:pPr>
        <w:pStyle w:val="Normal"/>
        <w:tabs>
          <w:tab w:val="left" w:pos="1134" w:leader="none"/>
        </w:tabs>
        <w:suppressAutoHyphens w:val="false"/>
        <w:spacing w:lineRule="auto" w:line="312"/>
        <w:ind w:left="1134" w:right="0" w:hanging="567"/>
        <w:jc w:val="both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 xml:space="preserve">d) </w:t>
        <w:tab/>
        <w:t>pečující o děti na zotavovací akci nebo jiné podobné akci pro děti podle zákona upravujícího ochranu veřejného zdraví konaných na území obce nebo</w:t>
      </w:r>
    </w:p>
    <w:p>
      <w:pPr>
        <w:pStyle w:val="Normal"/>
        <w:tabs>
          <w:tab w:val="left" w:pos="425" w:leader="none"/>
        </w:tabs>
        <w:suppressAutoHyphens w:val="false"/>
        <w:spacing w:lineRule="auto" w:line="312"/>
        <w:ind w:left="1134" w:right="0" w:hanging="567"/>
        <w:jc w:val="both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 xml:space="preserve">e) </w:t>
        <w:tab/>
        <w:t>vykonávající na území obce sezónní práci</w:t>
      </w:r>
      <w:r>
        <w:rPr>
          <w:rStyle w:val="Ukotvenpoznmkypodarou"/>
          <w:rStyle w:val="Ukotvenpoznmkypodarou"/>
          <w:rFonts w:cs="Arial" w:ascii="Arial" w:hAnsi="Arial"/>
          <w:sz w:val="22"/>
          <w:szCs w:val="22"/>
          <w:vertAlign w:val="superscript"/>
          <w:lang w:eastAsia="cs-CZ"/>
        </w:rPr>
        <w:footnoteReference w:id="12"/>
      </w:r>
      <w:r>
        <w:rPr>
          <w:rFonts w:cs="Arial" w:ascii="Arial" w:hAnsi="Arial"/>
          <w:sz w:val="22"/>
          <w:szCs w:val="22"/>
          <w:lang w:eastAsia="cs-CZ"/>
        </w:rPr>
        <w:t xml:space="preserve"> pro právnickou nebo podnikající fyzickou osobu nebo</w:t>
      </w:r>
    </w:p>
    <w:p>
      <w:pPr>
        <w:pStyle w:val="Normal"/>
        <w:tabs>
          <w:tab w:val="left" w:pos="425" w:leader="none"/>
        </w:tabs>
        <w:suppressAutoHyphens w:val="false"/>
        <w:spacing w:lineRule="auto" w:line="312"/>
        <w:ind w:left="1134" w:right="0" w:hanging="567"/>
        <w:jc w:val="both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 xml:space="preserve">f) </w:t>
        <w:tab/>
        <w:t>pobývající na území obce</w:t>
      </w:r>
    </w:p>
    <w:p>
      <w:pPr>
        <w:pStyle w:val="Normal"/>
        <w:tabs>
          <w:tab w:val="left" w:pos="851" w:leader="none"/>
        </w:tabs>
        <w:suppressAutoHyphens w:val="false"/>
        <w:spacing w:lineRule="auto" w:line="312"/>
        <w:ind w:left="1134" w:right="0" w:hanging="0"/>
        <w:jc w:val="both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 xml:space="preserve">1. ve školském zařízení pro výkon ústavní nebo ochranné výchovy anebo školském zařízení pro preventivně výchovnou péči anebo v zařízení pro děti vyžadující okamžitou pomoc, </w:t>
      </w:r>
    </w:p>
    <w:p>
      <w:pPr>
        <w:pStyle w:val="Normal"/>
        <w:tabs>
          <w:tab w:val="left" w:pos="851" w:leader="none"/>
        </w:tabs>
        <w:suppressAutoHyphens w:val="false"/>
        <w:spacing w:lineRule="auto" w:line="312"/>
        <w:ind w:left="1134" w:right="0" w:hanging="0"/>
        <w:jc w:val="both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>2. v zařízení poskytujícím ubytování podle zákona upravujícího sociální služby,</w:t>
      </w:r>
    </w:p>
    <w:p>
      <w:pPr>
        <w:pStyle w:val="Normal"/>
        <w:tabs>
          <w:tab w:val="left" w:pos="851" w:leader="none"/>
        </w:tabs>
        <w:suppressAutoHyphens w:val="false"/>
        <w:spacing w:lineRule="auto" w:line="312"/>
        <w:ind w:left="1134" w:right="0" w:hanging="0"/>
        <w:jc w:val="both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>3. v zařízení sloužícím k pomoci lidem v ohrožení nebo nouzi provozovaném veřejně prospěšným poplatníkem daně z příjmů právnických osob, nebo</w:t>
      </w:r>
    </w:p>
    <w:p>
      <w:pPr>
        <w:pStyle w:val="Normal"/>
        <w:tabs>
          <w:tab w:val="left" w:pos="851" w:leader="none"/>
        </w:tabs>
        <w:suppressAutoHyphens w:val="false"/>
        <w:spacing w:lineRule="auto" w:line="312" w:before="0" w:after="120"/>
        <w:ind w:left="1134" w:right="0" w:hanging="0"/>
        <w:jc w:val="both"/>
        <w:rPr>
          <w:rFonts w:cs="Arial" w:ascii="Arial" w:hAnsi="Arial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  <w:lang w:eastAsia="cs-CZ"/>
        </w:rPr>
        <w:t>4. za účelem výkonu záchranných nebo likvidačních prací podle zákona o integrovaném záchranném systému.</w:t>
      </w:r>
    </w:p>
    <w:p>
      <w:pPr>
        <w:pStyle w:val="Slalnk"/>
        <w:spacing w:before="480" w:after="60"/>
        <w:rPr>
          <w:rFonts w:cs="Arial" w:ascii="Arial" w:hAnsi="Arial"/>
        </w:rPr>
      </w:pPr>
      <w:r>
        <w:rPr>
          <w:rFonts w:cs="Arial" w:ascii="Arial" w:hAnsi="Arial"/>
        </w:rPr>
        <w:t>Čl. 8</w:t>
      </w:r>
    </w:p>
    <w:p>
      <w:pPr>
        <w:pStyle w:val="Nzvylnk"/>
        <w:rPr/>
      </w:pPr>
      <w:r>
        <w:rPr>
          <w:rFonts w:cs="Arial" w:ascii="Arial" w:hAnsi="Arial"/>
        </w:rPr>
        <w:t>Navýšení poplatku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spacing w:lineRule="auto" w:line="312" w:before="120" w:after="0"/>
        <w:jc w:val="both"/>
        <w:rPr>
          <w:rStyle w:val="Znakypropoznmku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13"/>
      </w:r>
    </w:p>
    <w:p>
      <w:pPr>
        <w:pStyle w:val="Normal"/>
        <w:numPr>
          <w:ilvl w:val="0"/>
          <w:numId w:val="6"/>
        </w:numPr>
        <w:spacing w:lineRule="auto" w:line="312" w:before="120" w:after="0"/>
        <w:jc w:val="both"/>
        <w:rPr>
          <w:rStyle w:val="Znakypropoznmkupodarou"/>
          <w:rStyle w:val="Ukotvenpoznmkypodarou"/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Včas neodvedené poplatky nebo část těchto poplatků může správce poplatku zvýšit až na trojnásobek; toto zvýšení je příslušenstvím poplatku sledujícím jeho osud.</w:t>
      </w:r>
      <w:r>
        <w:rPr>
          <w:rStyle w:val="Znakypropoznmkupodarou"/>
          <w:rStyle w:val="Ukotvenpoznmkypodarou"/>
          <w:rFonts w:cs="Arial" w:ascii="Arial" w:hAnsi="Arial"/>
          <w:sz w:val="22"/>
          <w:szCs w:val="22"/>
        </w:rPr>
        <w:footnoteReference w:id="14"/>
      </w:r>
    </w:p>
    <w:p>
      <w:pPr>
        <w:pStyle w:val="Normal"/>
        <w:spacing w:before="120" w:after="0"/>
        <w:ind w:left="567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Slalnk"/>
        <w:spacing w:lineRule="auto" w:line="312" w:before="0" w:after="120"/>
        <w:rPr>
          <w:rFonts w:cs="Arial" w:ascii="Arial" w:hAnsi="Arial"/>
        </w:rPr>
      </w:pPr>
      <w:r>
        <w:rPr>
          <w:rFonts w:cs="Arial" w:ascii="Arial" w:hAnsi="Arial"/>
        </w:rPr>
        <w:t>Čl. 9</w:t>
      </w:r>
    </w:p>
    <w:p>
      <w:pPr>
        <w:pStyle w:val="Slalnk"/>
        <w:spacing w:lineRule="auto" w:line="312" w:before="0" w:after="120"/>
        <w:rPr>
          <w:rFonts w:cs="Arial" w:ascii="Arial" w:hAnsi="Arial"/>
        </w:rPr>
      </w:pPr>
      <w:r>
        <w:rPr>
          <w:rFonts w:cs="Arial" w:ascii="Arial" w:hAnsi="Arial"/>
        </w:rPr>
        <w:t>Přechodné ustanovení</w:t>
      </w:r>
    </w:p>
    <w:p>
      <w:pPr>
        <w:pStyle w:val="Normal"/>
        <w:spacing w:lineRule="auto" w:line="312"/>
        <w:ind w:left="567" w:right="0" w:hanging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Osoba, která je plátcem poplatku z pobytu podle této vyhlášky a poskytovala úplatný pobyt nebo přechodné ubytování za úplatu přede dnem nabytí účinnosti této vyhlášky, je povinna splnit ohlašovací povinnost podle Čl. 3 této vyhlášky do 30 dnů ode dne nabytí její účinnosti.</w:t>
      </w:r>
    </w:p>
    <w:p>
      <w:pPr>
        <w:pStyle w:val="Slalnk"/>
        <w:spacing w:before="480" w:after="60"/>
        <w:rPr>
          <w:rFonts w:cs="Arial" w:ascii="Arial" w:hAnsi="Arial"/>
        </w:rPr>
      </w:pPr>
      <w:r>
        <w:rPr>
          <w:rFonts w:cs="Arial" w:ascii="Arial" w:hAnsi="Arial"/>
        </w:rPr>
        <w:t>Čl. 10</w:t>
      </w:r>
    </w:p>
    <w:p>
      <w:pPr>
        <w:pStyle w:val="Nzvylnk"/>
        <w:rPr>
          <w:rFonts w:cs="Arial" w:ascii="Arial" w:hAnsi="Arial"/>
        </w:rPr>
      </w:pPr>
      <w:r>
        <w:rPr>
          <w:rFonts w:cs="Arial" w:ascii="Arial" w:hAnsi="Arial"/>
        </w:rPr>
        <w:t>Účinnost</w:t>
      </w:r>
    </w:p>
    <w:p>
      <w:pPr>
        <w:pStyle w:val="Nzvylnk"/>
        <w:jc w:val="left"/>
        <w:rPr>
          <w:rFonts w:cs="Arial" w:ascii="Arial" w:hAnsi="Arial"/>
          <w:b w:val="false"/>
          <w:bCs w:val="false"/>
          <w:i/>
          <w:color w:val="0070C0"/>
          <w:szCs w:val="24"/>
        </w:rPr>
      </w:pPr>
      <w:r>
        <w:rPr>
          <w:rFonts w:cs="Arial" w:ascii="Arial" w:hAnsi="Arial"/>
          <w:b w:val="false"/>
          <w:bCs w:val="false"/>
          <w:i/>
          <w:color w:val="0070C0"/>
          <w:szCs w:val="24"/>
        </w:rPr>
      </w:r>
    </w:p>
    <w:p>
      <w:pPr>
        <w:pStyle w:val="Normal"/>
        <w:spacing w:lineRule="auto" w:line="288" w:before="120" w:after="0"/>
        <w:ind w:left="0" w:right="0" w:firstLine="708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vyhláška nabývá účinnosti dnem 1. 1. 2020. </w:t>
      </w:r>
    </w:p>
    <w:p>
      <w:pPr>
        <w:pStyle w:val="Nzvylnk"/>
        <w:jc w:val="left"/>
        <w:rPr>
          <w:rFonts w:cs="Arial" w:ascii="Arial" w:hAnsi="Arial"/>
          <w:b w:val="false"/>
          <w:bCs w:val="false"/>
          <w:i/>
          <w:color w:val="0070C0"/>
          <w:szCs w:val="24"/>
        </w:rPr>
      </w:pPr>
      <w:r>
        <w:rPr>
          <w:rFonts w:cs="Arial" w:ascii="Arial" w:hAnsi="Arial"/>
          <w:b w:val="false"/>
          <w:bCs w:val="false"/>
          <w:i/>
          <w:color w:val="0070C0"/>
          <w:szCs w:val="24"/>
        </w:rPr>
      </w:r>
    </w:p>
    <w:p>
      <w:pPr>
        <w:pStyle w:val="Tlotextu"/>
        <w:tabs>
          <w:tab w:val="center" w:pos="2552" w:leader="none"/>
          <w:tab w:val="center" w:pos="6521" w:leader="none"/>
        </w:tabs>
        <w:spacing w:lineRule="auto" w:line="312" w:before="0" w:after="0"/>
        <w:rPr>
          <w:rFonts w:cs="Arial" w:ascii="Arial" w:hAnsi="Arial"/>
          <w:i/>
        </w:rPr>
      </w:pPr>
      <w:r>
        <w:rPr>
          <w:rFonts w:cs="Arial" w:ascii="Arial" w:hAnsi="Arial"/>
          <w:i/>
        </w:rPr>
        <w:tab/>
        <w:tab/>
      </w:r>
    </w:p>
    <w:p>
      <w:pPr>
        <w:pStyle w:val="Tlotextu"/>
        <w:tabs>
          <w:tab w:val="center" w:pos="2552" w:leader="none"/>
          <w:tab w:val="center" w:pos="6521" w:leader="none"/>
        </w:tabs>
        <w:spacing w:lineRule="auto" w:line="312" w:before="0" w:after="0"/>
        <w:rPr>
          <w:rFonts w:cs="Arial" w:ascii="Arial" w:hAnsi="Arial"/>
          <w:i/>
        </w:rPr>
      </w:pPr>
      <w:r>
        <w:rPr>
          <w:rFonts w:cs="Arial" w:ascii="Arial" w:hAnsi="Arial"/>
          <w:i/>
        </w:rPr>
        <w:tab/>
        <w:t>...................................</w:t>
        <w:tab/>
        <w:t>..........................................</w:t>
      </w:r>
    </w:p>
    <w:p>
      <w:pPr>
        <w:pStyle w:val="Tlotextu"/>
        <w:tabs>
          <w:tab w:val="center" w:pos="2552" w:leader="none"/>
          <w:tab w:val="center" w:pos="6521" w:leader="none"/>
        </w:tabs>
        <w:spacing w:lineRule="auto" w:line="312" w:before="0" w:after="0"/>
        <w:rPr>
          <w:rFonts w:cs="Arial" w:ascii="Arial" w:hAnsi="Arial"/>
        </w:rPr>
      </w:pPr>
      <w:r>
        <w:rPr>
          <w:rFonts w:cs="Arial" w:ascii="Arial" w:hAnsi="Arial"/>
        </w:rPr>
        <w:tab/>
        <w:t>Ing. Vlaďko Beneš</w:t>
        <w:tab/>
        <w:t>Jiří Mihulka</w:t>
      </w:r>
    </w:p>
    <w:p>
      <w:pPr>
        <w:pStyle w:val="Tlotextu"/>
        <w:tabs>
          <w:tab w:val="center" w:pos="2552" w:leader="none"/>
          <w:tab w:val="center" w:pos="6521" w:leader="none"/>
        </w:tabs>
        <w:spacing w:lineRule="auto" w:line="312" w:before="0" w:after="0"/>
        <w:rPr>
          <w:rFonts w:cs="Arial" w:ascii="Arial" w:hAnsi="Arial"/>
        </w:rPr>
      </w:pPr>
      <w:r>
        <w:rPr>
          <w:rFonts w:cs="Arial" w:ascii="Arial" w:hAnsi="Arial"/>
        </w:rPr>
        <w:tab/>
        <w:t>místostarosta</w:t>
        <w:tab/>
        <w:t>starosta</w:t>
      </w:r>
    </w:p>
    <w:p>
      <w:pPr>
        <w:pStyle w:val="Tlotextu"/>
        <w:tabs>
          <w:tab w:val="left" w:pos="1080" w:leader="none"/>
          <w:tab w:val="left" w:pos="7020" w:leader="none"/>
        </w:tabs>
        <w:spacing w:lineRule="auto" w:line="312" w:before="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left" w:pos="1080" w:leader="none"/>
          <w:tab w:val="left" w:pos="7020" w:leader="none"/>
        </w:tabs>
        <w:spacing w:lineRule="auto" w:line="312" w:before="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left" w:pos="1080" w:leader="none"/>
          <w:tab w:val="left" w:pos="7020" w:leader="none"/>
        </w:tabs>
        <w:spacing w:lineRule="auto" w:line="312" w:before="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left" w:pos="1080" w:leader="none"/>
          <w:tab w:val="left" w:pos="7020" w:leader="none"/>
        </w:tabs>
        <w:spacing w:lineRule="auto" w:line="312" w:before="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left" w:pos="1080" w:leader="none"/>
          <w:tab w:val="left" w:pos="7020" w:leader="none"/>
        </w:tabs>
        <w:spacing w:lineRule="auto" w:line="312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Vyvěšeno na úřední desce dne: 19. 11. 2019</w:t>
      </w:r>
    </w:p>
    <w:p>
      <w:pPr>
        <w:pStyle w:val="Tlotextu"/>
        <w:tabs>
          <w:tab w:val="left" w:pos="1080" w:leader="none"/>
          <w:tab w:val="left" w:pos="7020" w:leader="none"/>
        </w:tabs>
        <w:spacing w:lineRule="auto" w:line="312" w:before="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Sejmuto z úřední desky dne:  </w:t>
      </w:r>
    </w:p>
    <w:p>
      <w:pPr>
        <w:pStyle w:val="Tlotextu"/>
        <w:tabs>
          <w:tab w:val="left" w:pos="1080" w:leader="none"/>
          <w:tab w:val="left" w:pos="7020" w:leader="none"/>
        </w:tabs>
        <w:spacing w:lineRule="auto" w:line="264" w:before="12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Zveřejnění vyhlášky bylo shodně provedeno na elektronické úřední desce.</w:t>
      </w:r>
    </w:p>
    <w:p>
      <w:pPr>
        <w:pStyle w:val="Tlotextu"/>
        <w:tabs>
          <w:tab w:val="left" w:pos="1440" w:leader="none"/>
          <w:tab w:val="left" w:pos="7020" w:leader="none"/>
        </w:tabs>
        <w:spacing w:lineRule="auto" w:line="288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jc w:val="both"/>
        <w:rPr>
          <w:rFonts w:cs="Arial" w:ascii="Arial" w:hAnsi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15 odst. 1 zákona o místních poplatcích</w:t>
      </w:r>
    </w:p>
  </w:footnote>
  <w:footnote w:id="3">
    <w:p>
      <w:pPr>
        <w:pStyle w:val="Poznmkapodarou"/>
        <w:rPr>
          <w:rFonts w:cs="Arial" w:ascii="Arial" w:hAnsi="Arial"/>
          <w:sz w:val="18"/>
          <w:szCs w:val="18"/>
        </w:rPr>
      </w:pPr>
      <w:r>
        <w:rPr/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3a  zákona o místních poplatcích</w:t>
      </w:r>
    </w:p>
  </w:footnote>
  <w:footnote w:id="4">
    <w:p>
      <w:pPr>
        <w:pStyle w:val="Poznmkapodarou"/>
        <w:rPr>
          <w:rFonts w:cs="Arial" w:ascii="Arial" w:hAnsi="Arial"/>
          <w:sz w:val="18"/>
          <w:szCs w:val="18"/>
        </w:rPr>
      </w:pPr>
      <w:r>
        <w:rPr/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3  zákona o místních poplatcích</w:t>
      </w:r>
    </w:p>
  </w:footnote>
  <w:footnote w:id="5">
    <w:p>
      <w:pPr>
        <w:pStyle w:val="Poznmkapodarou"/>
        <w:rPr>
          <w:rFonts w:cs="Arial" w:ascii="Arial" w:hAnsi="Arial"/>
          <w:sz w:val="18"/>
          <w:szCs w:val="18"/>
        </w:rPr>
      </w:pPr>
      <w:r>
        <w:rPr/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3f  zákona o místních poplatcích</w:t>
      </w:r>
    </w:p>
  </w:footnote>
  <w:footnote w:id="6">
    <w:p>
      <w:pPr>
        <w:pStyle w:val="Poznmkapodarou"/>
        <w:rPr>
          <w:rFonts w:cs="Arial" w:ascii="Arial" w:hAnsi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14a odst. 2 zákona o místních poplatcích</w:t>
      </w:r>
    </w:p>
  </w:footnote>
  <w:footnote w:id="7">
    <w:p>
      <w:pPr>
        <w:pStyle w:val="Poznmkapodarou"/>
        <w:rPr>
          <w:rFonts w:cs="Arial" w:ascii="Arial" w:hAnsi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footnoteRef/>
        <w:tab/>
        <w:t xml:space="preserve"> </w:t>
      </w:r>
      <w:r>
        <w:rPr>
          <w:rFonts w:cs="Arial" w:ascii="Arial" w:hAnsi="Arial"/>
          <w:sz w:val="18"/>
          <w:szCs w:val="18"/>
          <w:lang w:val="cs-CZ"/>
        </w:rPr>
        <w:tab/>
        <w:t xml:space="preserve"> </w:t>
      </w:r>
      <w:r>
        <w:rPr>
          <w:rFonts w:cs="Arial" w:ascii="Arial" w:hAnsi="Arial"/>
          <w:sz w:val="18"/>
          <w:szCs w:val="18"/>
        </w:rPr>
        <w:t>§ 14a odst. 3 zákona o místních poplatcích</w:t>
      </w:r>
    </w:p>
  </w:footnote>
  <w:footnote w:id="8">
    <w:p>
      <w:pPr>
        <w:pStyle w:val="Poznmkapodarou"/>
        <w:rPr>
          <w:rFonts w:cs="Arial" w:ascii="Arial" w:hAnsi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14a odst. 4 zákona o místních poplatcích</w:t>
      </w:r>
    </w:p>
  </w:footnote>
  <w:footnote w:id="9">
    <w:p>
      <w:pPr>
        <w:pStyle w:val="Poznmkapodarou"/>
        <w:rPr>
          <w:rFonts w:cs="Arial" w:ascii="Arial" w:hAnsi="Arial"/>
          <w:sz w:val="18"/>
          <w:szCs w:val="18"/>
        </w:rPr>
      </w:pPr>
      <w:r>
        <w:rPr/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14a odst. 5 zákona o místních poplatcích</w:t>
      </w:r>
    </w:p>
  </w:footnote>
  <w:footnote w:id="10">
    <w:p>
      <w:pPr>
        <w:pStyle w:val="Poznmkapodarou"/>
        <w:rPr>
          <w:rFonts w:cs="Arial" w:ascii="Arial" w:hAnsi="Arial"/>
          <w:sz w:val="18"/>
          <w:szCs w:val="18"/>
        </w:rPr>
      </w:pPr>
      <w:r>
        <w:rPr/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3g  zákona o místních poplatcích</w:t>
      </w:r>
    </w:p>
  </w:footnote>
  <w:footnote w:id="11">
    <w:p>
      <w:pPr>
        <w:pStyle w:val="Poznmkapodarou"/>
        <w:rPr>
          <w:rFonts w:cs="Arial" w:ascii="Arial" w:hAnsi="Arial"/>
          <w:sz w:val="18"/>
          <w:szCs w:val="18"/>
        </w:rPr>
      </w:pPr>
      <w:r>
        <w:rPr/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3b  odst. 1 zákona o místních poplatcích</w:t>
      </w:r>
    </w:p>
  </w:footnote>
  <w:footnote w:id="12">
    <w:p>
      <w:pPr>
        <w:pStyle w:val="Poznmkapodarou"/>
        <w:rPr>
          <w:rFonts w:cs="Arial" w:ascii="Arial" w:hAnsi="Arial"/>
          <w:sz w:val="18"/>
          <w:szCs w:val="18"/>
        </w:rPr>
      </w:pPr>
      <w:r>
        <w:rPr/>
        <w:footnoteRef/>
        <w:tab/>
        <w:t xml:space="preserve"> </w:t>
      </w:r>
      <w:r>
        <w:rPr>
          <w:lang w:val="cs-CZ"/>
        </w:rPr>
        <w:tab/>
        <w:t xml:space="preserve"> </w:t>
      </w:r>
      <w:r>
        <w:rPr>
          <w:rFonts w:cs="Arial" w:ascii="Arial" w:hAnsi="Arial"/>
          <w:sz w:val="18"/>
          <w:szCs w:val="18"/>
        </w:rPr>
        <w:t>§ 3b odst. 3 zákona o místních poplatcích</w:t>
      </w:r>
    </w:p>
  </w:footnote>
  <w:footnote w:id="13">
    <w:p>
      <w:pPr>
        <w:pStyle w:val="Poznmkapodarou"/>
        <w:rPr>
          <w:rFonts w:cs="Arial" w:ascii="Arial" w:hAnsi="Arial"/>
          <w:sz w:val="18"/>
          <w:szCs w:val="18"/>
        </w:rPr>
      </w:pPr>
      <w:r>
        <w:rPr>
          <w:rFonts w:eastAsia="Arial" w:cs="Arial" w:ascii="Arial" w:hAnsi="Arial"/>
          <w:sz w:val="22"/>
          <w:szCs w:val="22"/>
        </w:rPr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11 odst. 2 zákona o místních poplatcích</w:t>
      </w:r>
    </w:p>
  </w:footnote>
  <w:footnote w:id="14">
    <w:p>
      <w:pPr>
        <w:pStyle w:val="Poznmkapodarou"/>
        <w:rPr>
          <w:rFonts w:cs="Arial" w:ascii="Arial" w:hAnsi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footnoteRef/>
        <w:tab/>
        <w:t xml:space="preserve"> </w:t>
      </w:r>
      <w:r>
        <w:rPr>
          <w:rFonts w:cs="Arial" w:ascii="Arial" w:hAnsi="Arial"/>
          <w:sz w:val="18"/>
          <w:szCs w:val="18"/>
        </w:rPr>
        <w:t>§ 11 odst. 3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decimal"/>
      <w:lvlText w:val="()%3"/>
      <w:lvlJc w:val="left"/>
      <w:pPr>
        <w:tabs>
          <w:tab w:val="num" w:pos="499"/>
        </w:tabs>
        <w:ind w:left="283" w:hanging="-425"/>
      </w:pPr>
      <w:rPr/>
    </w:lvl>
    <w:lvl w:ilvl="3">
      <w:start w:val="1"/>
      <w:numFmt w:val="lowerLetter"/>
      <w:lvlText w:val=")%4"/>
      <w:lvlJc w:val="left"/>
      <w:pPr>
        <w:tabs>
          <w:tab w:val="num" w:pos="425"/>
        </w:tabs>
        <w:ind w:left="425" w:hanging="425"/>
      </w:pPr>
      <w:rPr>
        <w:dstrike w:val="false"/>
        <w:strike w:val="false"/>
      </w:rPr>
    </w:lvl>
    <w:lvl w:ilvl="4">
      <w:start w:val="1"/>
      <w:numFmt w:val="decimal"/>
      <w:lvlText w:val=".%5"/>
      <w:lvlJc w:val="left"/>
      <w:pPr>
        <w:tabs>
          <w:tab w:val="num" w:pos="851"/>
        </w:tabs>
        <w:ind w:left="851" w:hanging="426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720" w:hanging="0"/>
      </w:pPr>
      <w:rPr/>
    </w:lvl>
    <w:lvl w:ilvl="1">
      <w:start w:val="1"/>
      <w:numFmt w:val="none"/>
      <w:suff w:val="nothing"/>
      <w:lvlText w:val=""/>
      <w:lvlJc w:val="left"/>
      <w:pPr>
        <w:ind w:left="720" w:hanging="0"/>
      </w:pPr>
      <w:rPr/>
    </w:lvl>
    <w:lvl w:ilvl="2">
      <w:start w:val="1"/>
      <w:numFmt w:val="decimal"/>
      <w:lvlText w:val="()%3"/>
      <w:lvlJc w:val="left"/>
      <w:pPr>
        <w:tabs>
          <w:tab w:val="num" w:pos="1219"/>
        </w:tabs>
        <w:ind w:left="1003" w:hanging="-425"/>
      </w:pPr>
      <w:rPr/>
    </w:lvl>
    <w:lvl w:ilvl="3">
      <w:start w:val="1"/>
      <w:numFmt w:val="lowerLetter"/>
      <w:lvlText w:val=")%4"/>
      <w:lvlJc w:val="left"/>
      <w:pPr>
        <w:tabs>
          <w:tab w:val="num" w:pos="1145"/>
        </w:tabs>
        <w:ind w:left="1145" w:hanging="425"/>
      </w:pPr>
      <w:rPr>
        <w:dstrike w:val="false"/>
        <w:strike w:val="false"/>
      </w:rPr>
    </w:lvl>
    <w:lvl w:ilvl="4">
      <w:start w:val="1"/>
      <w:numFmt w:val="decimal"/>
      <w:lvlText w:val=".%5"/>
      <w:lvlJc w:val="left"/>
      <w:pPr>
        <w:tabs>
          <w:tab w:val="num" w:pos="1571"/>
        </w:tabs>
        <w:ind w:left="1571" w:hanging="426"/>
      </w:pPr>
      <w:rPr/>
    </w:lvl>
    <w:lvl w:ilvl="5">
      <w:start w:val="1"/>
      <w:numFmt w:val="none"/>
      <w:suff w:val="nothing"/>
      <w:lvlText w:val=""/>
      <w:lvlJc w:val="left"/>
      <w:pPr>
        <w:ind w:left="720" w:hanging="0"/>
      </w:pPr>
      <w:rPr/>
    </w:lvl>
    <w:lvl w:ilvl="6">
      <w:start w:val="1"/>
      <w:numFmt w:val="none"/>
      <w:suff w:val="nothing"/>
      <w:lvlText w:val=""/>
      <w:lvlJc w:val="left"/>
      <w:pPr>
        <w:ind w:left="720" w:hanging="0"/>
      </w:pPr>
      <w:rPr/>
    </w:lvl>
    <w:lvl w:ilvl="7">
      <w:start w:val="1"/>
      <w:numFmt w:val="none"/>
      <w:suff w:val="nothing"/>
      <w:lvlText w:val=""/>
      <w:lvlJc w:val="left"/>
      <w:pPr>
        <w:ind w:left="720" w:hanging="0"/>
      </w:pPr>
      <w:rPr/>
    </w:lvl>
    <w:lvl w:ilvl="8">
      <w:start w:val="1"/>
      <w:numFmt w:val="none"/>
      <w:suff w:val="nothing"/>
      <w:lvlText w:val=""/>
      <w:lvlJc w:val="left"/>
      <w:pPr>
        <w:ind w:left="720" w:hanging="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decimal"/>
      <w:lvlText w:val="()%3"/>
      <w:lvlJc w:val="left"/>
      <w:pPr>
        <w:tabs>
          <w:tab w:val="num" w:pos="499"/>
        </w:tabs>
        <w:ind w:left="283" w:hanging="-425"/>
      </w:pPr>
      <w:rPr/>
    </w:lvl>
    <w:lvl w:ilvl="3">
      <w:start w:val="1"/>
      <w:numFmt w:val="lowerLetter"/>
      <w:lvlText w:val=")%4"/>
      <w:lvlJc w:val="left"/>
      <w:pPr>
        <w:tabs>
          <w:tab w:val="num" w:pos="425"/>
        </w:tabs>
        <w:ind w:left="425" w:hanging="425"/>
      </w:pPr>
      <w:rPr>
        <w:dstrike w:val="false"/>
        <w:strike w:val="false"/>
      </w:rPr>
    </w:lvl>
    <w:lvl w:ilvl="4">
      <w:start w:val="1"/>
      <w:numFmt w:val="decimal"/>
      <w:lvlText w:val=".%5"/>
      <w:lvlJc w:val="left"/>
      <w:pPr>
        <w:tabs>
          <w:tab w:val="num" w:pos="851"/>
        </w:tabs>
        <w:ind w:left="851" w:hanging="426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decimal"/>
      <w:lvlText w:val=".%9"/>
      <w:lvlJc w:val="left"/>
      <w:pPr>
        <w:tabs>
          <w:tab w:val="num" w:pos="708"/>
        </w:tabs>
        <w:ind w:left="0" w:hanging="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decimal"/>
      <w:lvlText w:val="()%3"/>
      <w:lvlJc w:val="left"/>
      <w:pPr>
        <w:tabs>
          <w:tab w:val="num" w:pos="499"/>
        </w:tabs>
        <w:ind w:left="283" w:hanging="-425"/>
      </w:pPr>
      <w:rPr/>
    </w:lvl>
    <w:lvl w:ilvl="3">
      <w:start w:val="1"/>
      <w:numFmt w:val="lowerLetter"/>
      <w:lvlText w:val=")%4"/>
      <w:lvlJc w:val="left"/>
      <w:pPr>
        <w:tabs>
          <w:tab w:val="num" w:pos="425"/>
        </w:tabs>
        <w:ind w:left="425" w:hanging="425"/>
      </w:pPr>
      <w:rPr>
        <w:dstrike w:val="false"/>
        <w:strike w:val="false"/>
      </w:rPr>
    </w:lvl>
    <w:lvl w:ilvl="4">
      <w:start w:val="1"/>
      <w:numFmt w:val="decimal"/>
      <w:lvlText w:val=".%5"/>
      <w:lvlJc w:val="left"/>
      <w:pPr>
        <w:tabs>
          <w:tab w:val="num" w:pos="851"/>
        </w:tabs>
        <w:ind w:left="851" w:hanging="426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2">
    <w:name w:val="Nadpis 2"/>
    <w:basedOn w:val="Normal"/>
    <w:next w:val="Normal"/>
    <w:pPr>
      <w:keepNext/>
      <w:jc w:val="both"/>
    </w:pPr>
    <w:rPr>
      <w:u w:val="single"/>
    </w:rPr>
  </w:style>
  <w:style w:type="paragraph" w:styleId="Nadpis7">
    <w:name w:val="Nadpis 7"/>
    <w:basedOn w:val="Normal"/>
    <w:next w:val="Normal"/>
    <w:pPr>
      <w:keepNext/>
      <w:keepLines/>
      <w:numPr>
        <w:ilvl w:val="6"/>
        <w:numId w:val="2"/>
      </w:numPr>
      <w:spacing w:before="40" w:after="0"/>
      <w:jc w:val="both"/>
      <w:outlineLvl w:val="6"/>
      <w:outlineLvl w:val="6"/>
    </w:pPr>
    <w:rPr>
      <w:rFonts w:ascii="Cambria" w:hAnsi="Cambria" w:cs="Cambria"/>
      <w:i/>
      <w:iCs/>
      <w:color w:val="243F60"/>
      <w:szCs w:val="20"/>
    </w:rPr>
  </w:style>
  <w:style w:type="paragraph" w:styleId="Nadpis8">
    <w:name w:val="Nadpis 8"/>
    <w:basedOn w:val="Normal"/>
    <w:next w:val="Normal"/>
    <w:pPr>
      <w:keepNext/>
      <w:keepLines/>
      <w:numPr>
        <w:ilvl w:val="7"/>
        <w:numId w:val="2"/>
      </w:numPr>
      <w:spacing w:before="40" w:after="0"/>
      <w:jc w:val="both"/>
      <w:outlineLvl w:val="7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Nadpis9">
    <w:name w:val="Nadpis 9"/>
    <w:basedOn w:val="Normal"/>
    <w:next w:val="Normal"/>
    <w:pPr>
      <w:keepNext/>
      <w:keepLines/>
      <w:numPr>
        <w:ilvl w:val="8"/>
        <w:numId w:val="2"/>
      </w:numPr>
      <w:spacing w:before="40" w:after="0"/>
      <w:jc w:val="both"/>
      <w:outlineLvl w:val="8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WW8Num5z0">
    <w:name w:val="WW8Num5z0"/>
    <w:rPr>
      <w:rFonts w:cs="Arial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>
      <w:strike w:val="false"/>
      <w:dstrike w:val="false"/>
    </w:rPr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7">
    <w:name w:val="WW8Num5z7"/>
    <w:rPr>
      <w:rFonts w:ascii="Arial" w:hAnsi="Arial" w:eastAsia="Arial" w:cs="Arial"/>
      <w:sz w:val="22"/>
      <w:szCs w:val="22"/>
    </w:rPr>
  </w:style>
  <w:style w:type="character" w:styleId="WW8Num5z8">
    <w:name w:val="WW8Num5z8"/>
    <w:rPr/>
  </w:style>
  <w:style w:type="character" w:styleId="WW8Num6z0">
    <w:name w:val="WW8Num6z0"/>
    <w:rPr>
      <w:rFonts w:ascii="Arial" w:hAnsi="Arial" w:cs="Arial"/>
      <w:b w:val="false"/>
      <w:i w:val="false"/>
      <w:strike w:val="false"/>
      <w:dstrike w:val="false"/>
      <w:shadow w:val="false"/>
      <w:position w:val="0"/>
      <w:sz w:val="22"/>
      <w:sz w:val="22"/>
      <w:szCs w:val="22"/>
      <w:vertAlign w:val="baseline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Arial" w:hAnsi="Arial" w:cs="Arial"/>
      <w:b w:val="false"/>
      <w:i w:val="false"/>
      <w:strike w:val="false"/>
      <w:dstrike w:val="false"/>
      <w:shadow w:val="false"/>
      <w:position w:val="0"/>
      <w:sz w:val="22"/>
      <w:sz w:val="22"/>
      <w:szCs w:val="22"/>
      <w:vertAlign w:val="baseline"/>
    </w:rPr>
  </w:style>
  <w:style w:type="character" w:styleId="WW8Num7z1">
    <w:name w:val="WW8Num7z1"/>
    <w:rPr>
      <w:rFonts w:ascii="Arial" w:hAnsi="Arial" w:cs="Arial"/>
      <w:sz w:val="22"/>
      <w:szCs w:val="22"/>
    </w:rPr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ascii="Arial" w:hAnsi="Arial" w:cs="Arial"/>
      <w:b w:val="false"/>
      <w:i w:val="false"/>
      <w:strike w:val="false"/>
      <w:dstrike w:val="false"/>
      <w:shadow w:val="false"/>
      <w:position w:val="0"/>
      <w:sz w:val="22"/>
      <w:sz w:val="22"/>
      <w:szCs w:val="22"/>
      <w:vertAlign w:val="baseline"/>
    </w:rPr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rFonts w:ascii="Arial" w:hAnsi="Arial" w:cs="Arial"/>
      <w:b w:val="false"/>
      <w:i w:val="false"/>
      <w:strike w:val="false"/>
      <w:dstrike w:val="false"/>
      <w:shadow w:val="false"/>
      <w:position w:val="0"/>
      <w:sz w:val="22"/>
      <w:sz w:val="22"/>
      <w:szCs w:val="22"/>
      <w:vertAlign w:val="baseline"/>
    </w:rPr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>
      <w:strike w:val="false"/>
      <w:dstrike w:val="false"/>
    </w:rPr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cs="Arial"/>
    </w:rPr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>
      <w:strike w:val="false"/>
      <w:dstrike w:val="false"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>
      <w:strike w:val="false"/>
      <w:dstrike w:val="false"/>
    </w:rPr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>
      <w:strike w:val="false"/>
      <w:dstrike w:val="false"/>
    </w:rPr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1z6">
    <w:name w:val="WW8Num11z6"/>
    <w:rPr/>
  </w:style>
  <w:style w:type="character" w:styleId="WW8Num14z0">
    <w:name w:val="WW8Num14z0"/>
    <w:rPr>
      <w:b w:val="false"/>
      <w:i w:val="false"/>
      <w:strike w:val="false"/>
      <w:dstrike w:val="false"/>
      <w:shadow w:val="false"/>
      <w:position w:val="0"/>
      <w:sz w:val="24"/>
      <w:sz w:val="24"/>
      <w:vertAlign w:val="baseline"/>
    </w:rPr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Standardnpsmoodstavce">
    <w:name w:val="Standardní písmo odstavce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>
      <w:strike w:val="false"/>
      <w:dstrike w:val="false"/>
    </w:rPr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6">
    <w:name w:val="WW8Num5z6"/>
    <w:rPr/>
  </w:style>
  <w:style w:type="character" w:styleId="WW8Num4z6">
    <w:name w:val="WW8Num4z6"/>
    <w:rPr>
      <w:rFonts w:cs="Arial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15z0">
    <w:name w:val="WW8Num15z0"/>
    <w:rPr>
      <w:rFonts w:ascii="Arial" w:hAnsi="Arial" w:cs="Arial"/>
      <w:b w:val="false"/>
      <w:i w:val="false"/>
      <w:strike w:val="false"/>
      <w:dstrike w:val="false"/>
      <w:shadow w:val="false"/>
      <w:position w:val="0"/>
      <w:sz w:val="22"/>
      <w:sz w:val="22"/>
      <w:szCs w:val="22"/>
      <w:vertAlign w:val="baseline"/>
    </w:rPr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>
      <w:rFonts w:ascii="Arial" w:hAnsi="Arial" w:cs="Arial"/>
      <w:b w:val="false"/>
      <w:i w:val="false"/>
      <w:strike w:val="false"/>
      <w:dstrike w:val="false"/>
      <w:shadow w:val="false"/>
      <w:position w:val="0"/>
      <w:sz w:val="22"/>
      <w:sz w:val="22"/>
      <w:szCs w:val="22"/>
      <w:vertAlign w:val="baseline"/>
    </w:rPr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>
      <w:b w:val="false"/>
      <w:i w:val="false"/>
      <w:strike w:val="false"/>
      <w:dstrike w:val="false"/>
      <w:shadow w:val="false"/>
      <w:position w:val="0"/>
      <w:sz w:val="24"/>
      <w:sz w:val="24"/>
      <w:vertAlign w:val="baseline"/>
    </w:rPr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Standardnpsmoodstavce1">
    <w:name w:val="Standardní písmo odstavce1"/>
    <w:rPr/>
  </w:style>
  <w:style w:type="character" w:styleId="Nadpis2Char">
    <w:name w:val="Nadpis 2 Char"/>
    <w:rPr>
      <w:sz w:val="24"/>
      <w:szCs w:val="24"/>
      <w:u w:val="single"/>
      <w:lang w:val="cs-CZ" w:bidi="ar-SA"/>
    </w:rPr>
  </w:style>
  <w:style w:type="character" w:styleId="ZhlavChar">
    <w:name w:val="Záhlaví Char"/>
    <w:rPr>
      <w:sz w:val="24"/>
      <w:szCs w:val="24"/>
      <w:lang w:val="cs-CZ" w:bidi="ar-SA"/>
    </w:rPr>
  </w:style>
  <w:style w:type="character" w:styleId="ZkladntextChar">
    <w:name w:val="Základní text Char"/>
    <w:rPr>
      <w:sz w:val="24"/>
      <w:szCs w:val="24"/>
      <w:lang w:val="cs-CZ" w:bidi="ar-SA"/>
    </w:rPr>
  </w:style>
  <w:style w:type="character" w:styleId="TextpoznpodarouChar">
    <w:name w:val="Text pozn. pod čarou Char"/>
    <w:rPr>
      <w:lang w:val="cs-CZ" w:eastAsia="cs-CZ" w:bidi="ar-SA"/>
    </w:rPr>
  </w:style>
  <w:style w:type="character" w:styleId="Znakypropoznmkupodarou">
    <w:name w:val="Znaky pro poznámku pod čarou"/>
    <w:rPr>
      <w:vertAlign w:val="superscript"/>
    </w:rPr>
  </w:style>
  <w:style w:type="character" w:styleId="TextbublinyChar">
    <w:name w:val="Text bubliny Char"/>
    <w:rPr>
      <w:rFonts w:ascii="Segoe UI" w:hAnsi="Segoe UI" w:cs="Segoe UI"/>
      <w:sz w:val="18"/>
      <w:szCs w:val="18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basedOn w:val="Standardnpsmoodstavce1"/>
    <w:rPr/>
  </w:style>
  <w:style w:type="character" w:styleId="PedmtkomenteChar">
    <w:name w:val="Předmět komentáře Char"/>
    <w:rPr>
      <w:b/>
      <w:bCs/>
    </w:rPr>
  </w:style>
  <w:style w:type="character" w:styleId="Nadpis7Char">
    <w:name w:val="Nadpis 7 Char"/>
    <w:rPr>
      <w:rFonts w:ascii="Cambria" w:hAnsi="Cambria" w:cs="Cambria"/>
      <w:i/>
      <w:iCs/>
      <w:color w:val="243F60"/>
      <w:sz w:val="24"/>
    </w:rPr>
  </w:style>
  <w:style w:type="character" w:styleId="Nadpis8Char">
    <w:name w:val="Nadpis 8 Char"/>
    <w:rPr>
      <w:rFonts w:ascii="Cambria" w:hAnsi="Cambria" w:cs="Cambria"/>
      <w:color w:val="272727"/>
      <w:sz w:val="21"/>
      <w:szCs w:val="21"/>
    </w:rPr>
  </w:style>
  <w:style w:type="character" w:styleId="Nadpis9Char">
    <w:name w:val="Nadpis 9 Char"/>
    <w:rPr>
      <w:rFonts w:ascii="Cambria" w:hAnsi="Cambria" w:cs="Cambria"/>
      <w:i/>
      <w:iCs/>
      <w:color w:val="272727"/>
      <w:sz w:val="21"/>
      <w:szCs w:val="21"/>
    </w:rPr>
  </w:style>
  <w:style w:type="character" w:styleId="ParagrafChar">
    <w:name w:val="Paragraf Char"/>
    <w:rPr>
      <w:sz w:val="24"/>
    </w:rPr>
  </w:style>
  <w:style w:type="character" w:styleId="Znakapoznpodarou">
    <w:name w:val="Značka pozn. pod čarou"/>
    <w:rPr>
      <w:vertAlign w:val="superscript"/>
    </w:rPr>
  </w:style>
  <w:style w:type="character" w:styleId="Znakyprovysvtlivky">
    <w:name w:val="Znaky pro vysvětlivky"/>
    <w:rPr>
      <w:vertAlign w:val="superscript"/>
    </w:rPr>
  </w:style>
  <w:style w:type="character" w:styleId="WWZnakyprovysvtlivky">
    <w:name w:val="WW-Znaky pro vysvětlivky"/>
    <w:rPr/>
  </w:style>
  <w:style w:type="character" w:styleId="Odkaznavysvtlivky">
    <w:name w:val="Odkaz na vysvětlivky"/>
    <w:rPr>
      <w:vertAlign w:val="superscript"/>
    </w:rPr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Titulek">
    <w:name w:val="Titul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oznmkapodarou">
    <w:name w:val="Poznámka pod čarou"/>
    <w:basedOn w:val="Normal"/>
    <w:pPr/>
    <w:rPr>
      <w:sz w:val="20"/>
      <w:szCs w:val="20"/>
      <w:lang w:val="cs-CZ" w:eastAsia="cs-CZ"/>
    </w:rPr>
  </w:style>
  <w:style w:type="paragraph" w:styleId="Slalnk">
    <w:name w:val="Čísla článků"/>
    <w:basedOn w:val="Normal"/>
    <w:pPr>
      <w:keepNext/>
      <w:keepLines/>
      <w:spacing w:before="360" w:after="60"/>
      <w:jc w:val="center"/>
    </w:pPr>
    <w:rPr>
      <w:b/>
      <w:bCs/>
      <w:szCs w:val="20"/>
    </w:rPr>
  </w:style>
  <w:style w:type="paragraph" w:styleId="Nzvylnk">
    <w:name w:val="Názvy článků"/>
    <w:basedOn w:val="Slalnk"/>
    <w:pPr>
      <w:spacing w:before="60" w:after="160"/>
    </w:pPr>
    <w:rPr/>
  </w:style>
  <w:style w:type="paragraph" w:styleId="Textpozmn">
    <w:name w:val="Text pozm.n."/>
    <w:basedOn w:val="Normal"/>
    <w:next w:val="Normal"/>
    <w:pPr>
      <w:numPr>
        <w:ilvl w:val="0"/>
        <w:numId w:val="4"/>
      </w:numPr>
      <w:tabs>
        <w:tab w:val="left" w:pos="851" w:leader="none"/>
      </w:tabs>
      <w:spacing w:before="0" w:after="120"/>
      <w:ind w:left="850" w:right="0" w:hanging="0"/>
      <w:jc w:val="both"/>
    </w:pPr>
    <w:rPr>
      <w:szCs w:val="20"/>
    </w:rPr>
  </w:style>
  <w:style w:type="paragraph" w:styleId="Textbubliny">
    <w:name w:val="Text bubliny"/>
    <w:basedOn w:val="Normal"/>
    <w:pPr/>
    <w:rPr>
      <w:rFonts w:ascii="Segoe UI" w:hAnsi="Segoe UI" w:cs="Segoe UI"/>
      <w:sz w:val="18"/>
      <w:szCs w:val="18"/>
    </w:rPr>
  </w:style>
  <w:style w:type="paragraph" w:styleId="Textkomente1">
    <w:name w:val="Text komentáře1"/>
    <w:basedOn w:val="Normal"/>
    <w:pPr/>
    <w:rPr>
      <w:sz w:val="20"/>
      <w:szCs w:val="20"/>
    </w:rPr>
  </w:style>
  <w:style w:type="paragraph" w:styleId="Pedmtkomente">
    <w:name w:val="Předmět komentáře"/>
    <w:basedOn w:val="Textkomente1"/>
    <w:next w:val="Textkomente1"/>
    <w:pPr/>
    <w:rPr>
      <w:b/>
      <w:bCs/>
    </w:rPr>
  </w:style>
  <w:style w:type="paragraph" w:styleId="Paragraf">
    <w:name w:val="Paragraf"/>
    <w:basedOn w:val="Normal"/>
    <w:next w:val="Textodstavce"/>
    <w:pPr>
      <w:keepNext/>
      <w:keepLines/>
      <w:numPr>
        <w:ilvl w:val="0"/>
        <w:numId w:val="10"/>
      </w:numPr>
      <w:spacing w:before="240" w:after="0"/>
      <w:jc w:val="center"/>
    </w:pPr>
    <w:rPr>
      <w:szCs w:val="20"/>
    </w:rPr>
  </w:style>
  <w:style w:type="paragraph" w:styleId="Lnek">
    <w:name w:val="Článek"/>
    <w:basedOn w:val="Normal"/>
    <w:next w:val="Textodstavce"/>
    <w:pPr>
      <w:keepNext/>
      <w:keepLines/>
      <w:numPr>
        <w:ilvl w:val="0"/>
        <w:numId w:val="10"/>
      </w:numPr>
      <w:spacing w:before="240" w:after="0"/>
      <w:jc w:val="center"/>
    </w:pPr>
    <w:rPr>
      <w:szCs w:val="20"/>
    </w:rPr>
  </w:style>
  <w:style w:type="paragraph" w:styleId="Textbodu">
    <w:name w:val="Text bodu"/>
    <w:basedOn w:val="Normal"/>
    <w:pPr>
      <w:numPr>
        <w:ilvl w:val="0"/>
        <w:numId w:val="10"/>
      </w:numPr>
      <w:jc w:val="both"/>
    </w:pPr>
    <w:rPr>
      <w:szCs w:val="20"/>
    </w:rPr>
  </w:style>
  <w:style w:type="paragraph" w:styleId="Textpsmene">
    <w:name w:val="Text písmene"/>
    <w:basedOn w:val="Normal"/>
    <w:pPr>
      <w:numPr>
        <w:ilvl w:val="0"/>
        <w:numId w:val="10"/>
      </w:numPr>
      <w:jc w:val="both"/>
    </w:pPr>
    <w:rPr>
      <w:szCs w:val="20"/>
    </w:rPr>
  </w:style>
  <w:style w:type="paragraph" w:styleId="Textodstavce">
    <w:name w:val="Text odstavce"/>
    <w:basedOn w:val="Normal"/>
    <w:pPr>
      <w:numPr>
        <w:ilvl w:val="0"/>
        <w:numId w:val="10"/>
      </w:numPr>
      <w:tabs>
        <w:tab w:val="left" w:pos="851" w:leader="none"/>
      </w:tabs>
      <w:spacing w:before="120" w:after="120"/>
      <w:jc w:val="both"/>
    </w:pPr>
    <w:rPr>
      <w:szCs w:val="20"/>
    </w:rPr>
  </w:style>
  <w:style w:type="paragraph" w:styleId="Nadpisparagrafu">
    <w:name w:val="Nadpis paragrafu"/>
    <w:basedOn w:val="Paragraf"/>
    <w:next w:val="Textodstavce"/>
    <w:pPr>
      <w:numPr>
        <w:ilvl w:val="0"/>
        <w:numId w:val="10"/>
      </w:numPr>
    </w:pPr>
    <w:rPr>
      <w:b/>
    </w:rPr>
  </w:style>
  <w:style w:type="paragraph" w:styleId="Slovanseznam21">
    <w:name w:val="Číslovaný seznam 21"/>
    <w:basedOn w:val="Normal"/>
    <w:pPr>
      <w:numPr>
        <w:ilvl w:val="0"/>
        <w:numId w:val="3"/>
      </w:numPr>
      <w:spacing w:before="0" w:after="0"/>
      <w:contextualSpacing/>
      <w:jc w:val="both"/>
    </w:pPr>
    <w:rPr>
      <w:szCs w:val="20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2019-11-20T07:40:00Z</dcterms:created>
  <dc:creator>Žemlová Hana, JUDr.</dc:creator>
  <dc:language>cs-CZ</dc:language>
  <cp:lastModifiedBy>Radka Vodrážková</cp:lastModifiedBy>
  <cp:lastPrinted>2019-11-19T17:32:00Z</cp:lastPrinted>
  <dcterms:modified xsi:type="dcterms:W3CDTF">2019-11-20T09:44:00Z</dcterms:modified>
  <cp:revision>3</cp:revision>
  <dc:title>Metodický materiál</dc:title>
</cp:coreProperties>
</file>